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0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35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2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530" w:left="2632" w:right="2632" w:bottom="3530" w:header="0" w:footer="3" w:gutter="0"/>
          <w:rtlGutter w:val="0"/>
          <w:cols w:space="720"/>
          <w:noEndnote/>
          <w:docGrid w:linePitch="360"/>
        </w:sectPr>
      </w:pPr>
    </w:p>
    <w:p>
      <w:pPr>
        <w:framePr w:h="1678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7" type="#_x0000_t75" style="width:589pt;height:839pt;">
            <v:imagedata r:id="rId7" r:href="rId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8" w:left="2536" w:right="2536" w:bottom="3488" w:header="0" w:footer="3" w:gutter="0"/>
          <w:rtlGutter w:val="0"/>
          <w:cols w:space="720"/>
          <w:noEndnote/>
          <w:docGrid w:linePitch="360"/>
        </w:sectPr>
      </w:pPr>
    </w:p>
    <w:p>
      <w:pPr>
        <w:framePr w:h="1662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8" type="#_x0000_t75" style="width:586pt;height:831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69" w:left="2558" w:right="2558" w:bottom="3569" w:header="0" w:footer="3" w:gutter="0"/>
          <w:rtlGutter w:val="0"/>
          <w:cols w:space="720"/>
          <w:noEndnote/>
          <w:docGrid w:linePitch="360"/>
        </w:sectPr>
      </w:pPr>
    </w:p>
    <w:p>
      <w:pPr>
        <w:framePr w:h="1662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580pt;height:831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69" w:left="2621" w:right="2621" w:bottom="3569" w:header="0" w:footer="3" w:gutter="0"/>
          <w:rtlGutter w:val="0"/>
          <w:cols w:space="720"/>
          <w:noEndnote/>
          <w:docGrid w:linePitch="360"/>
        </w:sectPr>
      </w:pPr>
    </w:p>
    <w:p>
      <w:pPr>
        <w:framePr w:h="1671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586pt;height:836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21" w:left="2558" w:right="2558" w:bottom="3521" w:header="0" w:footer="3" w:gutter="0"/>
          <w:rtlGutter w:val="0"/>
          <w:cols w:space="720"/>
          <w:noEndnote/>
          <w:docGrid w:linePitch="360"/>
        </w:sectPr>
      </w:pPr>
    </w:p>
    <w:p>
      <w:pPr>
        <w:framePr w:h="1678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1" type="#_x0000_t75" style="width:593pt;height:839pt;">
            <v:imagedata r:id="rId15" r:href="rId1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0" w:left="2491" w:right="2491" w:bottom="3490" w:header="0" w:footer="3" w:gutter="0"/>
          <w:rtlGutter w:val="0"/>
          <w:cols w:space="720"/>
          <w:noEndnote/>
          <w:docGrid w:linePitch="360"/>
        </w:sectPr>
      </w:pPr>
    </w:p>
    <w:p>
      <w:pPr>
        <w:framePr w:h="1675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2" type="#_x0000_t75" style="width:594pt;height:838pt;">
            <v:imagedata r:id="rId17" r:href="rId1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03" w:left="2477" w:right="2477" w:bottom="3503" w:header="0" w:footer="3" w:gutter="0"/>
          <w:rtlGutter w:val="0"/>
          <w:cols w:space="720"/>
          <w:noEndnote/>
          <w:docGrid w:linePitch="360"/>
        </w:sectPr>
      </w:pPr>
    </w:p>
    <w:p>
      <w:pPr>
        <w:framePr w:h="1679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3" type="#_x0000_t75" style="width:594pt;height:840pt;">
            <v:imagedata r:id="rId19" r:href="rId2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5" w:left="2475" w:right="2475" w:bottom="3485" w:header="0" w:footer="3" w:gutter="0"/>
          <w:rtlGutter w:val="0"/>
          <w:cols w:space="720"/>
          <w:noEndnote/>
          <w:docGrid w:linePitch="360"/>
        </w:sectPr>
      </w:pPr>
    </w:p>
    <w:p>
      <w:pPr>
        <w:framePr w:h="1680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4" type="#_x0000_t75" style="width:596pt;height:840pt;">
            <v:imagedata r:id="rId21" r:href="rId2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79" w:left="2455" w:right="2455" w:bottom="3479" w:header="0" w:footer="3" w:gutter="0"/>
          <w:rtlGutter w:val="0"/>
          <w:cols w:space="720"/>
          <w:noEndnote/>
          <w:docGrid w:linePitch="360"/>
        </w:sectPr>
      </w:pPr>
    </w:p>
    <w:p>
      <w:pPr>
        <w:framePr w:h="16772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5" type="#_x0000_t75" style="width:593pt;height:839pt;">
            <v:imagedata r:id="rId23" r:href="rId2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4" w:left="2488" w:right="2488" w:bottom="3494" w:header="0" w:footer="3" w:gutter="0"/>
          <w:rtlGutter w:val="0"/>
          <w:cols w:space="720"/>
          <w:noEndnote/>
          <w:docGrid w:linePitch="360"/>
        </w:sectPr>
      </w:pPr>
    </w:p>
    <w:p>
      <w:pPr>
        <w:framePr w:h="1666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6" type="#_x0000_t75" style="width:596pt;height:833pt;">
            <v:imagedata r:id="rId25" r:href="rId2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46" w:left="2464" w:right="2464" w:bottom="3546" w:header="0" w:footer="3" w:gutter="0"/>
          <w:rtlGutter w:val="0"/>
          <w:cols w:space="720"/>
          <w:noEndnote/>
          <w:docGrid w:linePitch="360"/>
        </w:sectPr>
      </w:pPr>
    </w:p>
    <w:p>
      <w:pPr>
        <w:framePr w:h="1676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7" type="#_x0000_t75" style="width:582pt;height:839pt;">
            <v:imagedata r:id="rId27" r:href="rId2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5" w:left="2603" w:right="2603" w:bottom="3495" w:header="0" w:footer="3" w:gutter="0"/>
          <w:rtlGutter w:val="0"/>
          <w:cols w:space="720"/>
          <w:noEndnote/>
          <w:docGrid w:linePitch="360"/>
        </w:sectPr>
      </w:pPr>
    </w:p>
    <w:p>
      <w:pPr>
        <w:framePr w:h="1674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8" type="#_x0000_t75" style="width:584pt;height:837pt;">
            <v:imagedata r:id="rId29" r:href="rId3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08" w:left="2581" w:right="2581" w:bottom="3508" w:header="0" w:footer="3" w:gutter="0"/>
          <w:rtlGutter w:val="0"/>
          <w:cols w:space="720"/>
          <w:noEndnote/>
          <w:docGrid w:linePitch="360"/>
        </w:sectPr>
      </w:pPr>
    </w:p>
    <w:p>
      <w:pPr>
        <w:framePr w:h="1647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9" type="#_x0000_t75" style="width:578pt;height:824pt;">
            <v:imagedata r:id="rId31" r:href="rId3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45" w:left="2639" w:right="2639" w:bottom="3645" w:header="0" w:footer="3" w:gutter="0"/>
          <w:rtlGutter w:val="0"/>
          <w:cols w:space="720"/>
          <w:noEndnote/>
          <w:docGrid w:linePitch="360"/>
        </w:sectPr>
      </w:pPr>
    </w:p>
    <w:p>
      <w:pPr>
        <w:framePr w:h="1675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0" type="#_x0000_t75" style="width:586pt;height:838pt;">
            <v:imagedata r:id="rId33" r:href="rId3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04" w:left="2565" w:right="2565" w:bottom="3504" w:header="0" w:footer="3" w:gutter="0"/>
          <w:rtlGutter w:val="0"/>
          <w:cols w:space="720"/>
          <w:noEndnote/>
          <w:docGrid w:linePitch="360"/>
        </w:sectPr>
      </w:pPr>
    </w:p>
    <w:p>
      <w:pPr>
        <w:framePr w:h="1657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1" type="#_x0000_t75" style="width:590pt;height:829pt;">
            <v:imagedata r:id="rId35" r:href="rId3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93" w:left="2515" w:right="2515" w:bottom="3593" w:header="0" w:footer="3" w:gutter="0"/>
          <w:rtlGutter w:val="0"/>
          <w:cols w:space="720"/>
          <w:noEndnote/>
          <w:docGrid w:linePitch="360"/>
        </w:sectPr>
      </w:pPr>
    </w:p>
    <w:p>
      <w:pPr>
        <w:framePr w:h="1673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2" type="#_x0000_t75" style="width:593pt;height:837pt;">
            <v:imagedata r:id="rId37" r:href="rId3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13" w:left="2490" w:right="2490" w:bottom="3513" w:header="0" w:footer="3" w:gutter="0"/>
          <w:rtlGutter w:val="0"/>
          <w:cols w:space="720"/>
          <w:noEndnote/>
          <w:docGrid w:linePitch="360"/>
        </w:sectPr>
      </w:pPr>
    </w:p>
    <w:p>
      <w:pPr>
        <w:framePr w:h="1676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3" type="#_x0000_t75" style="width:595pt;height:839pt;">
            <v:imagedata r:id="rId39" r:href="rId4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5" w:left="2472" w:right="2472" w:bottom="3495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center"/>
      </w:tblPr>
      <w:tblGrid>
        <w:gridCol w:w="464"/>
        <w:gridCol w:w="7128"/>
        <w:gridCol w:w="1811"/>
        <w:gridCol w:w="389"/>
      </w:tblGrid>
      <w:tr>
        <w:trPr>
          <w:trHeight w:val="1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18.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Выявление потребителей, имеющих задолженность по платежам за жилищно- коммунальные услуги. Принятие мер по взысканию задолженности. Работа по взысканию задолженности за услуги ЖКУ в судебном порядке, в том числе работа с судебными приставами по исполнению решений суда. Подготовка материалов для судебного взыскания задолженности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р</w:t>
            </w:r>
          </w:p>
        </w:tc>
      </w:tr>
      <w:tr>
        <w:trPr>
          <w:trHeight w:val="19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19.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Приём и регистрация заявок, выяснение их причин и характера. Оперативный контроль за ходом ликвидации аварий. Ведение диспетчерского журнала и другой технической документации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по мере поступления заявок, до окончания ликвидации аварий и</w:t>
            </w:r>
          </w:p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причин их вызвавших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7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20.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Осуществление расчетов с подрядчиками за реализованную продукцию (услуги, работы) в соответствии с актами оценки качества выполненных работ и поставленных услуг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в соответствии с договорами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5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Консолидация финансовых средств для расчетов с подрядчиками за выполненные работы и предоставленные услуги в соответствии с заключенными договорами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16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4" w:lineRule="exact"/>
              <w:ind w:left="0" w:right="0" w:firstLine="0"/>
            </w:pPr>
            <w:r>
              <w:rPr>
                <w:rStyle w:val="CharStyle5"/>
              </w:rPr>
              <w:t>Подготовка расчетов по размеру платы для утверждения органом местного самоуправления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ежегодно, при формировании размера платы по содержанию и текущему ремонту жилищного фонда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14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Заключение договоров на управление общим имуществом с собственниками жилых и нежилых помещений многоквартирного дома, договоров на предоставление ЖКУ с нанимателями жилых и арендаторами нежилых помещений, договоров аренды на общее имущество собственников жилого дома. Подготовка актов выполненных работ, счетов-фактур к договорам по управлению жилищным фондом с предпринимателями и юридическими лицами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100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Представление интересов управляющей компании на судебных заседаниях по делам о жилищно-коммунальном обслуживании и его оплате. Подготовка расчетов и документов для предоставления в судебные органы для защиты интересов управляющей компании. Участие в судебных процессах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по мере необходимости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100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Предоставление статистической отчетности, информации в государственные и вышестоящие органы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постоянно, в соответствии со сроками предоставления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5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3" w:lineRule="exact"/>
              <w:ind w:left="0" w:right="0" w:firstLine="0"/>
            </w:pPr>
            <w:r>
              <w:rPr>
                <w:rStyle w:val="CharStyle5"/>
              </w:rPr>
              <w:t>Определение размера платежей за ЖКУ, оформление извещений гражданам на оплату жилищно-коммунальных услуг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ежемесячно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7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Проведение перерасчетов платежей за жилищно-коммунальные услуги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по мере необходимости, по заявлениям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100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29.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Рассмотрение и подготовка ответов на обращения потребителей ЖКУ по вопросам, связанным с жилищно-коммунальным обслуживанием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по мере поступления, в установленные сроки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30.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Организация расчетно-кассового обслуживания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5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31.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30" w:lineRule="exact"/>
              <w:ind w:left="0" w:right="0" w:firstLine="0"/>
            </w:pPr>
            <w:r>
              <w:rPr>
                <w:rStyle w:val="CharStyle5"/>
              </w:rPr>
              <w:t>Начисление пени в соответствии с действующим законодательством и договором при нарушении потребителями сроков внесения платежей за ЖКУ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ежемесячно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5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32.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3" w:lineRule="exact"/>
              <w:ind w:left="0" w:right="0" w:firstLine="0"/>
            </w:pPr>
            <w:r>
              <w:rPr>
                <w:rStyle w:val="CharStyle5"/>
              </w:rPr>
              <w:t>Создание и ведение базы данных по лицевым счетам нанимателей и собственников жилья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5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6"/>
                <w:lang w:val="ru-RU" w:eastAsia="ru-RU" w:bidi="ru-RU"/>
              </w:rPr>
              <w:t>п о</w:t>
            </w:r>
          </w:p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6"/>
              </w:rPr>
              <w:t>JJ.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3" w:lineRule="exact"/>
              <w:ind w:left="0" w:right="0" w:firstLine="0"/>
            </w:pPr>
            <w:r>
              <w:rPr>
                <w:rStyle w:val="CharStyle5"/>
              </w:rPr>
              <w:t>Расторжение заключенных договоров в судебном порядке или по соглашению сторон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4" w:lineRule="exact"/>
              <w:ind w:left="0" w:right="0" w:firstLine="0"/>
            </w:pPr>
            <w:r>
              <w:rPr>
                <w:rStyle w:val="CharStyle5"/>
              </w:rPr>
              <w:t>по мере необходимости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9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  <w:lang w:val="en-US" w:eastAsia="en-US" w:bidi="en-US"/>
              </w:rPr>
              <w:t>34.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7" w:lineRule="exact"/>
              <w:ind w:left="0" w:right="0" w:firstLine="0"/>
            </w:pPr>
            <w:r>
              <w:rPr>
                <w:rStyle w:val="CharStyle5"/>
              </w:rPr>
              <w:t>Юридическое оформление договоров, обеспечение законности. Проверка соответствия законодательству приказов, инструкций, положений и других документов правового характера, имеющих отношение к обслуживанию и ремонту жилищного фонда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76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  <w:lang w:val="en-US" w:eastAsia="en-US" w:bidi="en-US"/>
              </w:rPr>
              <w:t>[ 35.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3" w:lineRule="exact"/>
              <w:ind w:left="0" w:right="0" w:firstLine="0"/>
            </w:pPr>
            <w:r>
              <w:rPr>
                <w:rStyle w:val="CharStyle5"/>
                <w:lang w:val="en-US" w:eastAsia="en-US" w:bidi="en-US"/>
              </w:rPr>
              <w:t xml:space="preserve">J </w:t>
            </w:r>
            <w:r>
              <w:rPr>
                <w:rStyle w:val="CharStyle5"/>
              </w:rPr>
              <w:t xml:space="preserve">Анализ потребления энергоресурсов потребителями. Учёт фактических объемов </w:t>
            </w:r>
            <w:r>
              <w:rPr>
                <w:rStyle w:val="CharStyle5"/>
                <w:lang w:val="en-US" w:eastAsia="en-US" w:bidi="en-US"/>
              </w:rPr>
              <w:t xml:space="preserve">S </w:t>
            </w:r>
            <w:r>
              <w:rPr>
                <w:rStyle w:val="CharStyle5"/>
              </w:rPr>
              <w:t>энергоресурсов по арендаторам и собственникам нежилых помещений в домах с | общедомовыми приборами учета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  <w:tr>
        <w:trPr>
          <w:trHeight w:val="558" w:hRule="exact"/>
        </w:trPr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3" w:lineRule="exact"/>
              <w:ind w:left="0" w:right="0" w:firstLine="0"/>
            </w:pPr>
            <w:r>
              <w:rPr>
                <w:rStyle w:val="CharStyle5"/>
              </w:rPr>
              <w:t>Учет п контроль за соответствием разрешенной присоединенной мощности, |фактически установленной у потребителей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7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5"/>
              </w:rPr>
              <w:t>постоянно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792" w:wrap="notBeside" w:vAnchor="text" w:hAnchor="text" w:xAlign="center" w:y="1"/>
            </w:pPr>
          </w:p>
        </w:tc>
      </w:tr>
    </w:tbl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6838" w:h="23810"/>
          <w:pgMar w:top="2960" w:left="3519" w:right="3519" w:bottom="2960" w:header="0" w:footer="3" w:gutter="0"/>
          <w:rtlGutter w:val="0"/>
          <w:cols w:space="720"/>
          <w:noEndnote/>
          <w:docGrid w:linePitch="360"/>
        </w:sectPr>
      </w:pPr>
    </w:p>
    <w:p>
      <w:pPr>
        <w:framePr w:w="274" w:h="7866" w:wrap="none" w:vAnchor="text" w:hAnchor="margin" w:x="11528" w:y="311"/>
        <w:widowControl w:val="0"/>
      </w:pPr>
    </w:p>
    <w:p>
      <w:pPr>
        <w:framePr w:h="1621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4" type="#_x0000_t75" style="width:576pt;height:811pt;">
            <v:imagedata r:id="rId41" r:href="rId4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0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771" w:left="2518" w:right="2518" w:bottom="3771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Основной текст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8"/>
      <w:szCs w:val="18"/>
      <w:rFonts w:ascii="Lucida Sans Unicode" w:eastAsia="Lucida Sans Unicode" w:hAnsi="Lucida Sans Unicode" w:cs="Lucida Sans Unicode"/>
    </w:rPr>
  </w:style>
  <w:style w:type="character" w:customStyle="1" w:styleId="CharStyle5">
    <w:name w:val="Основной текст + 8,5 pt"/>
    <w:basedOn w:val="CharStyle4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6">
    <w:name w:val="Основной текст + Courier New,6 pt"/>
    <w:basedOn w:val="CharStyle4"/>
    <w:rPr>
      <w:lang w:val="en-US" w:eastAsia="en-US" w:bidi="en-US"/>
      <w:sz w:val="12"/>
      <w:szCs w:val="12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8">
    <w:name w:val="Штрих-код (2)_"/>
    <w:basedOn w:val="DefaultParagraphFont"/>
    <w:link w:val="Style7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Основной текст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Lucida Sans Unicode" w:eastAsia="Lucida Sans Unicode" w:hAnsi="Lucida Sans Unicode" w:cs="Lucida Sans Unicode"/>
    </w:rPr>
  </w:style>
  <w:style w:type="paragraph" w:customStyle="1" w:styleId="Style7">
    <w:name w:val="Штрих-код (2)"/>
    <w:basedOn w:val="Normal"/>
    <w:link w:val="CharStyle8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